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A3" w:rsidRDefault="00DB6FA3">
      <w:pPr>
        <w:pStyle w:val="FR1"/>
        <w:spacing w:before="0"/>
        <w:ind w:right="113" w:firstLine="567"/>
        <w:jc w:val="right"/>
        <w:rPr>
          <w:rFonts w:ascii="Arial" w:hAnsi="Arial"/>
          <w:b/>
          <w:i/>
          <w:noProof/>
        </w:rPr>
      </w:pPr>
      <w:r>
        <w:rPr>
          <w:rFonts w:ascii="Arial" w:hAnsi="Arial"/>
          <w:b/>
          <w:i/>
          <w:lang w:val="uk-UA"/>
        </w:rPr>
        <w:t>Зміна № 1 ДБН А.</w:t>
      </w:r>
      <w:r>
        <w:rPr>
          <w:rFonts w:ascii="Arial" w:hAnsi="Arial"/>
          <w:b/>
          <w:i/>
          <w:noProof/>
        </w:rPr>
        <w:t xml:space="preserve"> 1.1-1-93 </w:t>
      </w:r>
      <w:r>
        <w:rPr>
          <w:rFonts w:ascii="Arial" w:hAnsi="Arial"/>
          <w:b/>
          <w:i/>
          <w:lang w:val="uk-UA"/>
        </w:rPr>
        <w:t>"Система стандартизації та нормування в будівництві. Основні положення.</w:t>
      </w:r>
      <w:r>
        <w:rPr>
          <w:rFonts w:ascii="Arial" w:hAnsi="Arial"/>
          <w:b/>
          <w:i/>
          <w:noProof/>
        </w:rPr>
        <w:t xml:space="preserve">" </w:t>
      </w:r>
    </w:p>
    <w:p w:rsidR="00DB6FA3" w:rsidRDefault="00DB6FA3">
      <w:pPr>
        <w:pStyle w:val="FR1"/>
        <w:spacing w:before="0"/>
        <w:ind w:right="113" w:firstLine="567"/>
        <w:jc w:val="right"/>
        <w:rPr>
          <w:rFonts w:ascii="Arial" w:hAnsi="Arial"/>
        </w:rPr>
      </w:pPr>
      <w:r>
        <w:rPr>
          <w:rFonts w:ascii="Arial" w:hAnsi="Arial"/>
          <w:b/>
          <w:i/>
          <w:lang w:val="uk-UA"/>
        </w:rPr>
        <w:t>Затверджена та введена в дію наказом Держбуду України від</w:t>
      </w:r>
      <w:r>
        <w:rPr>
          <w:rFonts w:ascii="Arial" w:hAnsi="Arial"/>
          <w:b/>
          <w:i/>
          <w:noProof/>
        </w:rPr>
        <w:t xml:space="preserve"> 30.06.2000</w:t>
      </w:r>
      <w:r>
        <w:rPr>
          <w:rFonts w:ascii="Arial" w:hAnsi="Arial"/>
          <w:b/>
          <w:i/>
        </w:rPr>
        <w:t xml:space="preserve"> р.</w:t>
      </w:r>
      <w:r>
        <w:rPr>
          <w:rFonts w:ascii="Arial" w:hAnsi="Arial"/>
          <w:b/>
          <w:i/>
          <w:lang w:val="uk-UA"/>
        </w:rPr>
        <w:t xml:space="preserve"> № </w:t>
      </w:r>
      <w:r>
        <w:rPr>
          <w:rFonts w:ascii="Arial" w:hAnsi="Arial"/>
          <w:b/>
          <w:i/>
          <w:noProof/>
        </w:rPr>
        <w:t xml:space="preserve">143. </w:t>
      </w:r>
      <w:r>
        <w:rPr>
          <w:rFonts w:ascii="Arial" w:hAnsi="Arial"/>
          <w:b/>
          <w:i/>
          <w:lang w:val="uk-UA"/>
        </w:rPr>
        <w:t>Дата введення в дію</w:t>
      </w:r>
      <w:r>
        <w:rPr>
          <w:rFonts w:ascii="Arial" w:hAnsi="Arial"/>
          <w:b/>
          <w:i/>
          <w:noProof/>
        </w:rPr>
        <w:t xml:space="preserve"> </w:t>
      </w:r>
      <w:r>
        <w:rPr>
          <w:rFonts w:ascii="Arial" w:hAnsi="Arial"/>
          <w:b/>
          <w:i/>
          <w:noProof/>
          <w:u w:val="single"/>
        </w:rPr>
        <w:t>2000-07-01</w:t>
      </w:r>
    </w:p>
    <w:p w:rsidR="00DB6FA3" w:rsidRDefault="00DB6FA3">
      <w:pPr>
        <w:pStyle w:val="FR1"/>
        <w:spacing w:before="0"/>
        <w:ind w:right="113" w:firstLine="567"/>
        <w:jc w:val="center"/>
        <w:rPr>
          <w:rFonts w:ascii="Arial" w:hAnsi="Arial"/>
        </w:rPr>
      </w:pPr>
      <w:r>
        <w:rPr>
          <w:rFonts w:ascii="Arial" w:hAnsi="Arial"/>
          <w:b/>
          <w:lang w:val="uk-UA"/>
        </w:rPr>
        <w:t>Текст зміни</w:t>
      </w:r>
    </w:p>
    <w:p w:rsidR="00DB6FA3" w:rsidRDefault="00DB6FA3">
      <w:pPr>
        <w:spacing w:before="0" w:line="240" w:lineRule="auto"/>
        <w:ind w:left="0" w:right="113" w:firstLine="567"/>
        <w:rPr>
          <w:sz w:val="20"/>
        </w:rPr>
      </w:pPr>
      <w:r>
        <w:rPr>
          <w:b/>
          <w:sz w:val="20"/>
          <w:lang w:val="uk-UA"/>
        </w:rPr>
        <w:t>Додаток</w:t>
      </w:r>
      <w:r>
        <w:rPr>
          <w:noProof/>
          <w:sz w:val="20"/>
        </w:rPr>
        <w:t xml:space="preserve"> 1.</w:t>
      </w:r>
      <w:r>
        <w:rPr>
          <w:sz w:val="20"/>
          <w:lang w:val="uk-UA"/>
        </w:rPr>
        <w:t xml:space="preserve"> Схему класифікації нормативних докумен</w:t>
      </w:r>
      <w:r>
        <w:rPr>
          <w:sz w:val="20"/>
          <w:lang w:val="uk-UA"/>
        </w:rPr>
        <w:softHyphen/>
        <w:t>тів України в галузі будівництва доповнити класом Д, підкласами Д.1 та Д.2, комплексами Д.1.1, Д.1.2, Д.2.1, Д.2.2, Д.2.3, Д.2.4, Д.2.5, Д.2.6 і викласти у вигляді:</w:t>
      </w:r>
    </w:p>
    <w:p w:rsidR="00DB6FA3" w:rsidRDefault="00DB6FA3">
      <w:pPr>
        <w:spacing w:before="0" w:line="240" w:lineRule="auto"/>
        <w:ind w:left="0" w:right="113" w:firstLine="0"/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СХЕМА КЛАСИФІКАЦІЇ</w:t>
      </w:r>
    </w:p>
    <w:p w:rsidR="00DB6FA3" w:rsidRDefault="00DB6FA3">
      <w:pPr>
        <w:spacing w:before="0" w:line="240" w:lineRule="auto"/>
        <w:ind w:left="0" w:right="113" w:firstLine="0"/>
        <w:jc w:val="center"/>
        <w:rPr>
          <w:sz w:val="20"/>
        </w:rPr>
      </w:pPr>
      <w:r>
        <w:rPr>
          <w:b/>
          <w:sz w:val="20"/>
          <w:lang w:val="uk-UA"/>
        </w:rPr>
        <w:t>нормативних документів України в галузі будівництва</w:t>
      </w:r>
    </w:p>
    <w:p w:rsidR="00DB6FA3" w:rsidRDefault="006F2EFB">
      <w:pPr>
        <w:spacing w:before="0" w:line="240" w:lineRule="auto"/>
        <w:ind w:left="0" w:right="113" w:firstLine="567"/>
        <w:jc w:val="left"/>
        <w:rPr>
          <w:sz w:val="20"/>
        </w:rPr>
      </w:pPr>
      <w:r>
        <w:rPr>
          <w:noProof/>
          <w:sz w:val="20"/>
          <w:lang w:val="uk-UA"/>
        </w:rPr>
        <w:drawing>
          <wp:inline distT="0" distB="0" distL="0" distR="0">
            <wp:extent cx="5743575" cy="4181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FA3" w:rsidRDefault="00DB6FA3">
      <w:pPr>
        <w:spacing w:before="0" w:line="240" w:lineRule="auto"/>
        <w:ind w:left="0" w:right="113" w:firstLine="567"/>
        <w:jc w:val="left"/>
        <w:rPr>
          <w:sz w:val="20"/>
          <w:lang w:val="en-US"/>
        </w:rPr>
      </w:pPr>
    </w:p>
    <w:p w:rsidR="00DB6FA3" w:rsidRDefault="00DB6FA3">
      <w:pPr>
        <w:spacing w:before="0" w:line="240" w:lineRule="auto"/>
        <w:ind w:left="0" w:right="113" w:firstLine="567"/>
        <w:rPr>
          <w:sz w:val="20"/>
        </w:rPr>
      </w:pPr>
      <w:r>
        <w:rPr>
          <w:sz w:val="20"/>
          <w:lang w:val="uk-UA"/>
        </w:rPr>
        <w:t>У таблиці "Класифікація нормативних документів Ук</w:t>
      </w:r>
      <w:r>
        <w:rPr>
          <w:sz w:val="20"/>
          <w:lang w:val="uk-UA"/>
        </w:rPr>
        <w:softHyphen/>
        <w:t>раїни в галузі будівництва" графу "Напрямки стандар</w:t>
      </w:r>
      <w:r>
        <w:rPr>
          <w:sz w:val="20"/>
          <w:lang w:val="uk-UA"/>
        </w:rPr>
        <w:softHyphen/>
        <w:t>тизації та нормування" під шифром Г.</w:t>
      </w:r>
      <w:r>
        <w:rPr>
          <w:noProof/>
          <w:sz w:val="20"/>
        </w:rPr>
        <w:t xml:space="preserve"> 1</w:t>
      </w:r>
      <w:r>
        <w:rPr>
          <w:sz w:val="20"/>
          <w:lang w:val="uk-UA"/>
        </w:rPr>
        <w:t xml:space="preserve"> викласти в новій редакції:</w:t>
      </w:r>
    </w:p>
    <w:p w:rsidR="00DB6FA3" w:rsidRDefault="00DB6FA3">
      <w:pPr>
        <w:spacing w:before="0" w:line="240" w:lineRule="auto"/>
        <w:ind w:left="0" w:right="113" w:firstLine="567"/>
        <w:rPr>
          <w:sz w:val="20"/>
        </w:rPr>
      </w:pPr>
      <w:r>
        <w:rPr>
          <w:sz w:val="20"/>
          <w:lang w:val="uk-UA"/>
        </w:rPr>
        <w:t>"Норми тривалості проектування, будівництва та нор</w:t>
      </w:r>
      <w:r>
        <w:rPr>
          <w:sz w:val="20"/>
          <w:lang w:val="uk-UA"/>
        </w:rPr>
        <w:softHyphen/>
        <w:t>мативи відряду. Норми витрат матеріалів. Норми пот</w:t>
      </w:r>
      <w:r>
        <w:rPr>
          <w:sz w:val="20"/>
          <w:lang w:val="uk-UA"/>
        </w:rPr>
        <w:softHyphen/>
        <w:t>реби в будівельному інвентарі, інструментах, приладах, будівельній техніці. Норми оплати праці в будівництві. Базові нормативи питомих капітальних вкладень. Норми споживання енергетичних ресурсів."</w:t>
      </w:r>
    </w:p>
    <w:p w:rsidR="00DB6FA3" w:rsidRDefault="00DB6FA3">
      <w:pPr>
        <w:spacing w:before="0" w:line="240" w:lineRule="auto"/>
        <w:ind w:left="0" w:right="113" w:firstLine="567"/>
        <w:rPr>
          <w:sz w:val="20"/>
          <w:lang w:val="uk-UA"/>
        </w:rPr>
      </w:pPr>
      <w:r>
        <w:rPr>
          <w:sz w:val="20"/>
          <w:lang w:val="uk-UA"/>
        </w:rPr>
        <w:t>Таблицю "Класифікація нормативних документів Ук</w:t>
      </w:r>
      <w:r>
        <w:rPr>
          <w:sz w:val="20"/>
          <w:lang w:val="uk-UA"/>
        </w:rPr>
        <w:softHyphen/>
        <w:t>раїни в галузі будівництва" доповнити рядками такого змісту</w:t>
      </w:r>
    </w:p>
    <w:p w:rsidR="00DB6FA3" w:rsidRDefault="00DB6FA3">
      <w:pPr>
        <w:spacing w:before="0" w:line="240" w:lineRule="auto"/>
        <w:ind w:left="0" w:right="113" w:firstLine="567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60"/>
        <w:gridCol w:w="4060"/>
        <w:gridCol w:w="4536"/>
      </w:tblGrid>
      <w:tr w:rsidR="00DB6FA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60" w:type="dxa"/>
          </w:tcPr>
          <w:p w:rsidR="00DB6FA3" w:rsidRDefault="00DB6FA3">
            <w:pPr>
              <w:spacing w:before="0" w:line="24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Шифр</w:t>
            </w:r>
          </w:p>
        </w:tc>
        <w:tc>
          <w:tcPr>
            <w:tcW w:w="4060" w:type="dxa"/>
          </w:tcPr>
          <w:p w:rsidR="00DB6FA3" w:rsidRDefault="00DB6FA3">
            <w:pPr>
              <w:spacing w:before="0" w:line="24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 xml:space="preserve">Найменування класів, підкласів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z w:val="20"/>
                <w:lang w:val="uk-UA"/>
              </w:rPr>
              <w:t xml:space="preserve"> комплексів документів</w:t>
            </w:r>
          </w:p>
        </w:tc>
        <w:tc>
          <w:tcPr>
            <w:tcW w:w="4536" w:type="dxa"/>
          </w:tcPr>
          <w:p w:rsidR="00DB6FA3" w:rsidRDefault="00DB6FA3">
            <w:pPr>
              <w:spacing w:before="0" w:line="24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Напрямки стандартизації та нормування</w:t>
            </w:r>
          </w:p>
        </w:tc>
      </w:tr>
      <w:tr w:rsidR="00DB6FA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60" w:type="dxa"/>
          </w:tcPr>
          <w:p w:rsidR="00DB6FA3" w:rsidRDefault="00DB6FA3">
            <w:pPr>
              <w:spacing w:before="0" w:line="24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Д.</w:t>
            </w:r>
          </w:p>
        </w:tc>
        <w:tc>
          <w:tcPr>
            <w:tcW w:w="8596" w:type="dxa"/>
            <w:gridSpan w:val="2"/>
          </w:tcPr>
          <w:p w:rsidR="00DB6FA3" w:rsidRDefault="00DB6FA3">
            <w:pPr>
              <w:spacing w:before="0" w:line="24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Кошторисні норми та правила</w:t>
            </w:r>
          </w:p>
        </w:tc>
      </w:tr>
      <w:tr w:rsidR="00DB6FA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60" w:type="dxa"/>
          </w:tcPr>
          <w:p w:rsidR="00DB6FA3" w:rsidRDefault="00DB6FA3">
            <w:pPr>
              <w:spacing w:before="0" w:line="24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Д.1</w:t>
            </w:r>
          </w:p>
        </w:tc>
        <w:tc>
          <w:tcPr>
            <w:tcW w:w="8596" w:type="dxa"/>
            <w:gridSpan w:val="2"/>
          </w:tcPr>
          <w:p w:rsidR="00DB6FA3" w:rsidRDefault="00DB6FA3">
            <w:pPr>
              <w:spacing w:before="0" w:line="24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Організація робіт з кошторисного нормування</w:t>
            </w:r>
          </w:p>
        </w:tc>
      </w:tr>
      <w:tr w:rsidR="00DB6FA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60" w:type="dxa"/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Д.1.1</w:t>
            </w:r>
          </w:p>
        </w:tc>
        <w:tc>
          <w:tcPr>
            <w:tcW w:w="4060" w:type="dxa"/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Кошторисна документація</w:t>
            </w:r>
          </w:p>
        </w:tc>
        <w:tc>
          <w:tcPr>
            <w:tcW w:w="4536" w:type="dxa"/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Вимоги щодо складання та застосування кошторисної документації. Розроблення відповідних правил (порядків, вказівок тощо)</w:t>
            </w:r>
          </w:p>
        </w:tc>
      </w:tr>
      <w:tr w:rsidR="00DB6FA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60" w:type="dxa"/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Д.1.2</w:t>
            </w:r>
          </w:p>
        </w:tc>
        <w:tc>
          <w:tcPr>
            <w:tcW w:w="4060" w:type="dxa"/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Вартість будівництва об'єктів і робіт</w:t>
            </w:r>
          </w:p>
        </w:tc>
        <w:tc>
          <w:tcPr>
            <w:tcW w:w="4536" w:type="dxa"/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Вимоги щодо визначення вартості будівництва та окремих видів робіт. Розроблення відповідних НД і рекомендацій</w:t>
            </w:r>
          </w:p>
        </w:tc>
      </w:tr>
      <w:tr w:rsidR="00DB6FA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60" w:type="dxa"/>
          </w:tcPr>
          <w:p w:rsidR="00DB6FA3" w:rsidRDefault="00DB6FA3">
            <w:pPr>
              <w:spacing w:before="0" w:line="24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Д.2</w:t>
            </w:r>
          </w:p>
        </w:tc>
        <w:tc>
          <w:tcPr>
            <w:tcW w:w="8596" w:type="dxa"/>
            <w:gridSpan w:val="2"/>
          </w:tcPr>
          <w:p w:rsidR="00DB6FA3" w:rsidRDefault="00DB6FA3">
            <w:pPr>
              <w:spacing w:before="0" w:line="24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Кошторисні норми</w:t>
            </w:r>
          </w:p>
        </w:tc>
      </w:tr>
      <w:tr w:rsidR="00DB6FA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60" w:type="dxa"/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Д.2.1</w:t>
            </w:r>
          </w:p>
        </w:tc>
        <w:tc>
          <w:tcPr>
            <w:tcW w:w="4060" w:type="dxa"/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Кошторисні норми на проектно-вишукувальні роботи</w:t>
            </w:r>
          </w:p>
        </w:tc>
        <w:tc>
          <w:tcPr>
            <w:tcW w:w="4536" w:type="dxa"/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Кошторисні нормативи на проектно-вишукувальні роботи різного призначення</w:t>
            </w:r>
          </w:p>
        </w:tc>
      </w:tr>
    </w:tbl>
    <w:p w:rsidR="00DB6FA3" w:rsidRDefault="00DB6FA3">
      <w:pPr>
        <w:ind w:right="276"/>
        <w:jc w:val="right"/>
        <w:rPr>
          <w:i/>
        </w:rPr>
      </w:pPr>
      <w:r>
        <w:br w:type="page"/>
      </w:r>
      <w:r>
        <w:rPr>
          <w:i/>
        </w:rPr>
        <w:lastRenderedPageBreak/>
        <w:t>Продо</w:t>
      </w:r>
      <w:r>
        <w:rPr>
          <w:i/>
          <w:lang w:val="uk-UA"/>
        </w:rPr>
        <w:t>в</w:t>
      </w:r>
      <w:r>
        <w:rPr>
          <w:i/>
        </w:rPr>
        <w:t>ження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60"/>
        <w:gridCol w:w="4060"/>
        <w:gridCol w:w="4536"/>
      </w:tblGrid>
      <w:tr w:rsidR="00DB6FA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60" w:type="dxa"/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Д.2.2</w:t>
            </w:r>
          </w:p>
        </w:tc>
        <w:tc>
          <w:tcPr>
            <w:tcW w:w="4060" w:type="dxa"/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Ресурсні елементні кошторисні норми на будівельні роботи</w:t>
            </w:r>
          </w:p>
        </w:tc>
        <w:tc>
          <w:tcPr>
            <w:tcW w:w="4536" w:type="dxa"/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Ресурсні елементні кошторисні нормативи на окремі види будівельних робіт</w:t>
            </w:r>
          </w:p>
        </w:tc>
      </w:tr>
      <w:tr w:rsidR="00DB6FA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60" w:type="dxa"/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Д.2.3</w:t>
            </w:r>
          </w:p>
        </w:tc>
        <w:tc>
          <w:tcPr>
            <w:tcW w:w="4060" w:type="dxa"/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Ресурсні елементні кошторисні норми на монтаж устаткування</w:t>
            </w:r>
          </w:p>
        </w:tc>
        <w:tc>
          <w:tcPr>
            <w:tcW w:w="4536" w:type="dxa"/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Кошторисні нормативи на монтаж устаткування різного призначення</w:t>
            </w:r>
          </w:p>
        </w:tc>
      </w:tr>
      <w:tr w:rsidR="00DB6FA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60" w:type="dxa"/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Д.2.4</w:t>
            </w:r>
          </w:p>
        </w:tc>
        <w:tc>
          <w:tcPr>
            <w:tcW w:w="4060" w:type="dxa"/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Кошторисні норми на ремонтно-будівельні роботи</w:t>
            </w:r>
          </w:p>
        </w:tc>
        <w:tc>
          <w:tcPr>
            <w:tcW w:w="4536" w:type="dxa"/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Кошторисні нормативи на окремі види ремонтно-будівельних робіт</w:t>
            </w:r>
          </w:p>
        </w:tc>
      </w:tr>
      <w:tr w:rsidR="00DB6FA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60" w:type="dxa"/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Д.2.5</w:t>
            </w:r>
          </w:p>
        </w:tc>
        <w:tc>
          <w:tcPr>
            <w:tcW w:w="4060" w:type="dxa"/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Кошторисні норми на ремонтно-реставраційні роботи</w:t>
            </w:r>
          </w:p>
        </w:tc>
        <w:tc>
          <w:tcPr>
            <w:tcW w:w="4536" w:type="dxa"/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Кошторисні нормативи на окремі види ремонтно-реставраційних робіт</w:t>
            </w:r>
          </w:p>
        </w:tc>
      </w:tr>
      <w:tr w:rsidR="00DB6FA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60" w:type="dxa"/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Д.2.6</w:t>
            </w:r>
          </w:p>
        </w:tc>
        <w:tc>
          <w:tcPr>
            <w:tcW w:w="4060" w:type="dxa"/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Кошторисні норми на пусконалагоджувальні роботи</w:t>
            </w:r>
          </w:p>
        </w:tc>
        <w:tc>
          <w:tcPr>
            <w:tcW w:w="4536" w:type="dxa"/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Кошторисні нормативи на пусконалагоджувальні роботи устаткування різного призначення</w:t>
            </w:r>
          </w:p>
        </w:tc>
      </w:tr>
    </w:tbl>
    <w:p w:rsidR="00DB6FA3" w:rsidRDefault="00DB6FA3">
      <w:pPr>
        <w:spacing w:before="0" w:line="240" w:lineRule="auto"/>
        <w:ind w:left="0" w:right="113" w:firstLine="567"/>
        <w:jc w:val="left"/>
        <w:rPr>
          <w:sz w:val="20"/>
        </w:rPr>
      </w:pPr>
    </w:p>
    <w:p w:rsidR="00DB6FA3" w:rsidRPr="00541706" w:rsidRDefault="00DB6FA3">
      <w:pPr>
        <w:pStyle w:val="FR1"/>
        <w:spacing w:before="0"/>
        <w:ind w:right="113" w:firstLine="0"/>
        <w:jc w:val="right"/>
        <w:rPr>
          <w:rFonts w:ascii="Arial" w:hAnsi="Arial"/>
          <w:b/>
          <w:i/>
        </w:rPr>
      </w:pPr>
    </w:p>
    <w:p w:rsidR="00DB6FA3" w:rsidRPr="00541706" w:rsidRDefault="00DB6FA3">
      <w:pPr>
        <w:pStyle w:val="FR1"/>
        <w:spacing w:before="0"/>
        <w:ind w:right="113" w:firstLine="0"/>
        <w:jc w:val="right"/>
        <w:rPr>
          <w:rFonts w:ascii="Arial" w:hAnsi="Arial"/>
          <w:b/>
          <w:i/>
        </w:rPr>
      </w:pPr>
    </w:p>
    <w:p w:rsidR="00DB6FA3" w:rsidRDefault="00DB6FA3">
      <w:pPr>
        <w:pStyle w:val="FR1"/>
        <w:spacing w:before="0"/>
        <w:ind w:right="113" w:firstLine="0"/>
        <w:jc w:val="righ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Изменение №</w:t>
      </w:r>
      <w:r>
        <w:rPr>
          <w:rFonts w:ascii="Arial" w:hAnsi="Arial"/>
          <w:b/>
          <w:i/>
          <w:noProof/>
        </w:rPr>
        <w:t xml:space="preserve"> 1</w:t>
      </w:r>
      <w:r>
        <w:rPr>
          <w:rFonts w:ascii="Arial" w:hAnsi="Arial"/>
          <w:b/>
          <w:i/>
          <w:lang w:val="uk-UA"/>
        </w:rPr>
        <w:t xml:space="preserve"> ДБН А.</w:t>
      </w:r>
      <w:r>
        <w:rPr>
          <w:rFonts w:ascii="Arial" w:hAnsi="Arial"/>
          <w:b/>
          <w:i/>
          <w:noProof/>
        </w:rPr>
        <w:t xml:space="preserve">1.1-1-93 </w:t>
      </w:r>
      <w:r>
        <w:rPr>
          <w:rFonts w:ascii="Arial" w:hAnsi="Arial"/>
          <w:b/>
          <w:i/>
        </w:rPr>
        <w:t xml:space="preserve">"Система стандартизации и нормирования в строительстве. Основные положения". </w:t>
      </w:r>
    </w:p>
    <w:p w:rsidR="00DB6FA3" w:rsidRDefault="00DB6FA3">
      <w:pPr>
        <w:pStyle w:val="FR1"/>
        <w:spacing w:before="0"/>
        <w:ind w:right="113" w:firstLine="0"/>
        <w:jc w:val="right"/>
        <w:rPr>
          <w:rFonts w:ascii="Arial" w:hAnsi="Arial"/>
        </w:rPr>
      </w:pPr>
      <w:r>
        <w:rPr>
          <w:rFonts w:ascii="Arial" w:hAnsi="Arial"/>
          <w:b/>
          <w:i/>
        </w:rPr>
        <w:t>Утверждено и введено в действие приказом Госстроя Украины от</w:t>
      </w:r>
      <w:r>
        <w:rPr>
          <w:rFonts w:ascii="Arial" w:hAnsi="Arial"/>
          <w:b/>
          <w:i/>
          <w:noProof/>
        </w:rPr>
        <w:t xml:space="preserve"> 30.06.2000</w:t>
      </w:r>
      <w:r>
        <w:rPr>
          <w:rFonts w:ascii="Arial" w:hAnsi="Arial"/>
          <w:b/>
          <w:i/>
        </w:rPr>
        <w:t xml:space="preserve"> г.  №</w:t>
      </w:r>
      <w:r>
        <w:rPr>
          <w:rFonts w:ascii="Arial" w:hAnsi="Arial"/>
          <w:b/>
          <w:i/>
          <w:noProof/>
        </w:rPr>
        <w:t xml:space="preserve"> 143. </w:t>
      </w:r>
      <w:r>
        <w:rPr>
          <w:rFonts w:ascii="Arial" w:hAnsi="Arial"/>
          <w:b/>
          <w:i/>
        </w:rPr>
        <w:t>Дата введения в действие</w:t>
      </w:r>
      <w:r>
        <w:rPr>
          <w:rFonts w:ascii="Arial" w:hAnsi="Arial"/>
          <w:b/>
          <w:i/>
          <w:noProof/>
        </w:rPr>
        <w:t xml:space="preserve"> </w:t>
      </w:r>
      <w:r>
        <w:rPr>
          <w:rFonts w:ascii="Arial" w:hAnsi="Arial"/>
          <w:b/>
          <w:i/>
          <w:noProof/>
          <w:u w:val="single"/>
        </w:rPr>
        <w:t>2000-07-01</w:t>
      </w:r>
    </w:p>
    <w:p w:rsidR="00DB6FA3" w:rsidRDefault="00DB6FA3">
      <w:pPr>
        <w:pStyle w:val="FR1"/>
        <w:spacing w:before="0"/>
        <w:ind w:right="113" w:firstLine="567"/>
        <w:jc w:val="center"/>
        <w:rPr>
          <w:rFonts w:ascii="Arial" w:hAnsi="Arial"/>
        </w:rPr>
      </w:pPr>
      <w:r>
        <w:rPr>
          <w:rFonts w:ascii="Arial" w:hAnsi="Arial"/>
          <w:b/>
        </w:rPr>
        <w:t>Текст изменений</w:t>
      </w:r>
    </w:p>
    <w:p w:rsidR="00DB6FA3" w:rsidRDefault="00DB6FA3">
      <w:pPr>
        <w:pStyle w:val="FR1"/>
        <w:spacing w:before="0"/>
        <w:ind w:right="113" w:firstLine="567"/>
        <w:rPr>
          <w:rFonts w:ascii="Arial" w:hAnsi="Arial"/>
        </w:rPr>
      </w:pPr>
      <w:r>
        <w:rPr>
          <w:rFonts w:ascii="Arial" w:hAnsi="Arial"/>
          <w:b/>
        </w:rPr>
        <w:t>Дополнение</w:t>
      </w:r>
      <w:r>
        <w:rPr>
          <w:rFonts w:ascii="Arial" w:hAnsi="Arial"/>
          <w:b/>
          <w:noProof/>
        </w:rPr>
        <w:t xml:space="preserve"> 1.</w:t>
      </w:r>
      <w:r>
        <w:rPr>
          <w:rFonts w:ascii="Arial" w:hAnsi="Arial"/>
        </w:rPr>
        <w:t xml:space="preserve"> Схему классификации нормативных документов Украины в области строительства дополнить классом Д, подклассами Д.1 и Д</w:t>
      </w:r>
      <w:r>
        <w:rPr>
          <w:rFonts w:ascii="Arial" w:hAnsi="Arial"/>
          <w:noProof/>
        </w:rPr>
        <w:t xml:space="preserve"> 2,</w:t>
      </w:r>
      <w:r>
        <w:rPr>
          <w:rFonts w:ascii="Arial" w:hAnsi="Arial"/>
        </w:rPr>
        <w:t xml:space="preserve"> комплексами Д.</w:t>
      </w:r>
      <w:r>
        <w:rPr>
          <w:rFonts w:ascii="Arial" w:hAnsi="Arial"/>
          <w:noProof/>
        </w:rPr>
        <w:t xml:space="preserve">1.1, </w:t>
      </w:r>
      <w:r>
        <w:rPr>
          <w:rFonts w:ascii="Arial" w:hAnsi="Arial"/>
        </w:rPr>
        <w:t>Д.1,2, Д.2.1, Д.2.2, Д.</w:t>
      </w:r>
      <w:r>
        <w:rPr>
          <w:rFonts w:ascii="Arial" w:hAnsi="Arial"/>
          <w:noProof/>
        </w:rPr>
        <w:t>2.3,</w:t>
      </w:r>
      <w:r>
        <w:rPr>
          <w:rFonts w:ascii="Arial" w:hAnsi="Arial"/>
        </w:rPr>
        <w:t xml:space="preserve"> Д.2.4, Д.2.5, Д.</w:t>
      </w:r>
      <w:r>
        <w:rPr>
          <w:rFonts w:ascii="Arial" w:hAnsi="Arial"/>
          <w:noProof/>
        </w:rPr>
        <w:t>2.6</w:t>
      </w:r>
      <w:r>
        <w:rPr>
          <w:rFonts w:ascii="Arial" w:hAnsi="Arial"/>
        </w:rPr>
        <w:t xml:space="preserve"> и изложить в виде:</w:t>
      </w:r>
    </w:p>
    <w:p w:rsidR="00DB6FA3" w:rsidRPr="00541706" w:rsidRDefault="00DB6FA3">
      <w:pPr>
        <w:pStyle w:val="FR1"/>
        <w:spacing w:before="0"/>
        <w:ind w:right="113" w:firstLine="567"/>
        <w:jc w:val="center"/>
        <w:rPr>
          <w:rFonts w:ascii="Arial" w:hAnsi="Arial"/>
          <w:b/>
        </w:rPr>
      </w:pPr>
    </w:p>
    <w:p w:rsidR="00DB6FA3" w:rsidRDefault="00DB6FA3">
      <w:pPr>
        <w:pStyle w:val="FR1"/>
        <w:spacing w:before="0"/>
        <w:ind w:right="113" w:firstLine="5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СХЕМА КЛАССИФИКАЦИИ </w:t>
      </w:r>
    </w:p>
    <w:p w:rsidR="00DB6FA3" w:rsidRDefault="00DB6FA3">
      <w:pPr>
        <w:pStyle w:val="FR1"/>
        <w:spacing w:before="0"/>
        <w:ind w:right="113" w:firstLine="567"/>
        <w:jc w:val="center"/>
        <w:rPr>
          <w:rFonts w:ascii="Arial" w:hAnsi="Arial"/>
        </w:rPr>
      </w:pPr>
      <w:r>
        <w:rPr>
          <w:rFonts w:ascii="Arial" w:hAnsi="Arial"/>
          <w:b/>
        </w:rPr>
        <w:t>нормативных документов Украины в области строительства</w:t>
      </w:r>
    </w:p>
    <w:p w:rsidR="00DB6FA3" w:rsidRDefault="00DB6FA3">
      <w:pPr>
        <w:pStyle w:val="FR1"/>
        <w:spacing w:before="0"/>
        <w:ind w:right="113" w:firstLine="567"/>
        <w:jc w:val="center"/>
        <w:rPr>
          <w:rFonts w:ascii="Arial" w:hAnsi="Arial"/>
        </w:rPr>
      </w:pPr>
    </w:p>
    <w:p w:rsidR="00DB6FA3" w:rsidRDefault="006F2EFB">
      <w:pPr>
        <w:pStyle w:val="FR1"/>
        <w:spacing w:before="0"/>
        <w:ind w:right="113" w:firstLine="567"/>
        <w:jc w:val="center"/>
      </w:pPr>
      <w:r>
        <w:rPr>
          <w:noProof/>
          <w:lang w:val="uk-UA"/>
        </w:rPr>
        <w:drawing>
          <wp:inline distT="0" distB="0" distL="0" distR="0">
            <wp:extent cx="5743575" cy="41814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FA3" w:rsidRDefault="00DB6FA3">
      <w:pPr>
        <w:pStyle w:val="FR1"/>
        <w:spacing w:before="0"/>
        <w:ind w:right="113" w:firstLine="567"/>
        <w:jc w:val="center"/>
      </w:pPr>
    </w:p>
    <w:p w:rsidR="00DB6FA3" w:rsidRDefault="00DB6FA3">
      <w:pPr>
        <w:spacing w:before="0" w:line="240" w:lineRule="auto"/>
        <w:ind w:left="0" w:right="113" w:firstLine="567"/>
        <w:rPr>
          <w:sz w:val="20"/>
        </w:rPr>
      </w:pPr>
      <w:r>
        <w:rPr>
          <w:sz w:val="20"/>
        </w:rPr>
        <w:t>В таблице "Классификация нормативных документов Украины в области строительства" графу "Направления стандартизации и нормирование" под шифром Г.1 изло</w:t>
      </w:r>
      <w:r>
        <w:rPr>
          <w:sz w:val="20"/>
        </w:rPr>
        <w:softHyphen/>
        <w:t>жить в новой редакции:</w:t>
      </w:r>
    </w:p>
    <w:p w:rsidR="00DB6FA3" w:rsidRDefault="00DB6FA3">
      <w:pPr>
        <w:spacing w:before="0" w:line="240" w:lineRule="auto"/>
        <w:ind w:left="0" w:right="113" w:firstLine="567"/>
        <w:rPr>
          <w:sz w:val="20"/>
        </w:rPr>
      </w:pPr>
      <w:r>
        <w:rPr>
          <w:sz w:val="20"/>
        </w:rPr>
        <w:t>"Нормы продолжительности проектирования, строи</w:t>
      </w:r>
      <w:r>
        <w:rPr>
          <w:sz w:val="20"/>
        </w:rPr>
        <w:softHyphen/>
        <w:t>тельства и нормативы задела. Нормы расхода материа</w:t>
      </w:r>
      <w:r>
        <w:rPr>
          <w:sz w:val="20"/>
        </w:rPr>
        <w:softHyphen/>
        <w:t>лов. Нормы потребности в строительном инвентаре, ин</w:t>
      </w:r>
      <w:r>
        <w:rPr>
          <w:sz w:val="20"/>
        </w:rPr>
        <w:softHyphen/>
        <w:t>струментах, приборах, строительной технике. Нормы оп</w:t>
      </w:r>
      <w:r>
        <w:rPr>
          <w:sz w:val="20"/>
        </w:rPr>
        <w:softHyphen/>
        <w:t>латы труда в строительстве. Базовые нормативы удель</w:t>
      </w:r>
      <w:r>
        <w:rPr>
          <w:sz w:val="20"/>
        </w:rPr>
        <w:softHyphen/>
        <w:t>ных капитальных вложений. Нормы потребления энер</w:t>
      </w:r>
      <w:r>
        <w:rPr>
          <w:sz w:val="20"/>
        </w:rPr>
        <w:softHyphen/>
        <w:t>гетических ресурсов."</w:t>
      </w:r>
    </w:p>
    <w:p w:rsidR="00DB6FA3" w:rsidRDefault="00DB6FA3">
      <w:pPr>
        <w:spacing w:before="0" w:line="240" w:lineRule="auto"/>
        <w:ind w:left="0" w:right="113" w:firstLine="567"/>
        <w:rPr>
          <w:sz w:val="20"/>
        </w:rPr>
      </w:pPr>
      <w:r>
        <w:rPr>
          <w:sz w:val="20"/>
        </w:rPr>
        <w:lastRenderedPageBreak/>
        <w:t>Таблицу "Классификация нормативных документов Украины в области строительства" дополнить строками следующего содержания: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0"/>
        <w:gridCol w:w="3898"/>
        <w:gridCol w:w="4820"/>
      </w:tblGrid>
      <w:tr w:rsidR="00DB6FA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A3" w:rsidRDefault="00DB6FA3">
            <w:pPr>
              <w:spacing w:before="0" w:line="24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Шифр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A3" w:rsidRDefault="00DB6FA3">
            <w:pPr>
              <w:spacing w:before="0" w:line="24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классов, подклассов и комплексов документов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A3" w:rsidRDefault="00DB6FA3">
            <w:pPr>
              <w:spacing w:before="0" w:line="24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 стандартизации и нормирования</w:t>
            </w:r>
          </w:p>
        </w:tc>
      </w:tr>
      <w:tr w:rsidR="00DB6FA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A3" w:rsidRDefault="00DB6FA3">
            <w:pPr>
              <w:spacing w:before="0" w:line="24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Д.</w:t>
            </w:r>
          </w:p>
        </w:tc>
        <w:tc>
          <w:tcPr>
            <w:tcW w:w="8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A3" w:rsidRDefault="00DB6FA3">
            <w:pPr>
              <w:spacing w:before="0" w:line="24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Сметные нормы и правила</w:t>
            </w:r>
          </w:p>
        </w:tc>
      </w:tr>
      <w:tr w:rsidR="00DB6FA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A3" w:rsidRDefault="00DB6FA3">
            <w:pPr>
              <w:spacing w:before="0" w:line="24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Д.1</w:t>
            </w:r>
          </w:p>
        </w:tc>
        <w:tc>
          <w:tcPr>
            <w:tcW w:w="8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A3" w:rsidRDefault="00DB6FA3">
            <w:pPr>
              <w:spacing w:before="0" w:line="24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 работ по сметному нормированию</w:t>
            </w:r>
          </w:p>
        </w:tc>
      </w:tr>
      <w:tr w:rsidR="00DB6FA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Д.1.1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Сметная документация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Требования по составлению и применению сметной документации. Разработка соответствую-щих правил (порядков, указаний и т. п.)</w:t>
            </w:r>
          </w:p>
        </w:tc>
      </w:tr>
      <w:tr w:rsidR="00DB6FA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Д.1.2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Стоимость строительства объектов и работ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Требования по определению стоимости строительства и отдельных видов работ. Разработка соответствующих НД и рекомендаций</w:t>
            </w:r>
          </w:p>
        </w:tc>
      </w:tr>
      <w:tr w:rsidR="00DB6FA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A3" w:rsidRDefault="00DB6FA3">
            <w:pPr>
              <w:spacing w:before="0" w:line="24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Д.2</w:t>
            </w:r>
          </w:p>
        </w:tc>
        <w:tc>
          <w:tcPr>
            <w:tcW w:w="8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A3" w:rsidRDefault="00DB6FA3">
            <w:pPr>
              <w:spacing w:before="0" w:line="24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Сметные нормы</w:t>
            </w:r>
          </w:p>
        </w:tc>
      </w:tr>
      <w:tr w:rsidR="00DB6FA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Д.2.1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Сметные нормы на проектно-изыскательские работы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Сметные нормативы на проектно-изыскательские работы разного назначения</w:t>
            </w:r>
          </w:p>
        </w:tc>
      </w:tr>
      <w:tr w:rsidR="00DB6FA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Д.2.2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Ресурсные элементные сметные нормы на строительные работы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Ресурсные элементные сметные нормативы на отдельные виды строительных работ</w:t>
            </w:r>
          </w:p>
        </w:tc>
      </w:tr>
      <w:tr w:rsidR="00DB6FA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Д.2.3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Ресурсные элементные сметные нормы на монтаж оборудования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Ресурсные элементные сметные нормативы на монтаж оборудования разного назначения</w:t>
            </w:r>
          </w:p>
        </w:tc>
      </w:tr>
      <w:tr w:rsidR="00DB6FA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Д.2.4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Ресурсные элементные сметные нормы на ремонтно-строительные работы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Ресурсные элементные сметные нормативы на отдельные виды ремонтно-строительных работ</w:t>
            </w:r>
          </w:p>
        </w:tc>
      </w:tr>
      <w:tr w:rsidR="00DB6FA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Д.2.5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Ресурсные элементные сметные нормы на ремонтно-реставрационные работы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Ресурсные элементные сметные нормативы на отдельные виды ремонтно-реставрационных работ</w:t>
            </w:r>
          </w:p>
        </w:tc>
      </w:tr>
      <w:tr w:rsidR="00DB6FA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Д.2.6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Ресурсные элементные сметные нормы на пусконаладочные работы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A3" w:rsidRDefault="00DB6FA3">
            <w:pPr>
              <w:spacing w:before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Ресурсные элементные сметные нормативы на пусконаладочные работы оборудования разного назначения</w:t>
            </w:r>
          </w:p>
        </w:tc>
      </w:tr>
    </w:tbl>
    <w:p w:rsidR="00DB6FA3" w:rsidRDefault="00DB6FA3">
      <w:pPr>
        <w:spacing w:before="0" w:line="240" w:lineRule="auto"/>
        <w:ind w:left="0" w:right="113" w:firstLine="567"/>
        <w:jc w:val="left"/>
        <w:rPr>
          <w:sz w:val="20"/>
        </w:rPr>
      </w:pPr>
    </w:p>
    <w:sectPr w:rsidR="00DB6FA3">
      <w:pgSz w:w="11900" w:h="16820"/>
      <w:pgMar w:top="1134" w:right="1134" w:bottom="1134" w:left="1134" w:header="708" w:footer="708" w:gutter="0"/>
      <w:cols w:space="60" w:equalWidth="0">
        <w:col w:w="963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541706"/>
    <w:rsid w:val="004A33E9"/>
    <w:rsid w:val="00541706"/>
    <w:rsid w:val="006F2EFB"/>
    <w:rsid w:val="00DB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20" w:line="260" w:lineRule="auto"/>
      <w:ind w:left="5040" w:firstLine="200"/>
      <w:jc w:val="both"/>
    </w:pPr>
    <w:rPr>
      <w:rFonts w:ascii="Arial" w:hAnsi="Arial"/>
      <w:sz w:val="1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before="60"/>
      <w:ind w:firstLine="180"/>
      <w:jc w:val="both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3170</Words>
  <Characters>1807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Зміна № 1 ДБН А</vt:lpstr>
    </vt:vector>
  </TitlesOfParts>
  <Company>БАНАТОВИК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Зміна № 1 ДБН А</dc:title>
  <dc:creator>Бирюков Иван Викторович</dc:creator>
  <cp:lastModifiedBy>p-podufalov</cp:lastModifiedBy>
  <cp:revision>2</cp:revision>
  <dcterms:created xsi:type="dcterms:W3CDTF">2012-07-26T13:16:00Z</dcterms:created>
  <dcterms:modified xsi:type="dcterms:W3CDTF">2012-07-26T13:16:00Z</dcterms:modified>
</cp:coreProperties>
</file>